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</w:t>
      </w:r>
    </w:p>
    <w:p>
      <w:pPr>
        <w:widowControl/>
        <w:adjustRightInd w:val="0"/>
        <w:snapToGrid w:val="0"/>
        <w:spacing w:line="560" w:lineRule="exact"/>
        <w:rPr>
          <w:rFonts w:ascii="方正小标宋简体" w:hAnsi="黑体" w:eastAsia="方正小标宋简体" w:cs="黑体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加强企业家权益司法保护  服务民营经济“两个健康”提升行动领导小组</w:t>
      </w:r>
    </w:p>
    <w:p>
      <w:pPr>
        <w:ind w:firstLine="640"/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    长：沈伟轩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 组 长：朱正栩、王红军、赵占增、张建立、李庆东、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  鹏、张冬梅、王亚超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责任部门：立案庭、民事庭、刑事庭、行政庭、执行局、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成员单位：院各部门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2021-12-22T09:18:22Z</dcterms:created>
  <dc:creator>Administrator</dc:creator>
  <cp:lastModifiedBy>梵高的耳朵</cp:lastModifiedBy>
  <dcterms:modified xsi:type="dcterms:W3CDTF">2021-12-22T09:18:31Z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B978DE75975A4F89BCF5B6F85736D857</vt:lpwstr>
  </property>
</Properties>
</file>